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CAA33" w14:textId="77777777" w:rsidR="00812CF5" w:rsidRPr="00812CF5" w:rsidRDefault="00812CF5" w:rsidP="00812CF5">
      <w:pPr>
        <w:spacing w:after="0" w:line="240" w:lineRule="auto"/>
        <w:ind w:left="2124" w:firstLine="708"/>
        <w:rPr>
          <w:rFonts w:ascii="Palatino Linotype" w:hAnsi="Palatino Linotype" w:cs="Segoe UI"/>
          <w:bCs/>
          <w:sz w:val="24"/>
          <w:szCs w:val="24"/>
        </w:rPr>
      </w:pPr>
    </w:p>
    <w:p w14:paraId="4D054819" w14:textId="77777777" w:rsidR="00812CF5" w:rsidRPr="004411FE" w:rsidRDefault="00812CF5" w:rsidP="00812CF5">
      <w:pPr>
        <w:spacing w:line="276" w:lineRule="auto"/>
        <w:jc w:val="center"/>
        <w:rPr>
          <w:rFonts w:ascii="Palatino Linotype" w:hAnsi="Palatino Linotype" w:cs="Segoe UI"/>
          <w:b/>
          <w:sz w:val="24"/>
          <w:szCs w:val="24"/>
          <w:lang w:val="en-GB"/>
        </w:rPr>
      </w:pPr>
      <w:r w:rsidRPr="004411FE">
        <w:rPr>
          <w:rFonts w:ascii="Palatino Linotype" w:hAnsi="Palatino Linotype" w:cs="Segoe UI"/>
          <w:b/>
          <w:sz w:val="24"/>
          <w:szCs w:val="24"/>
          <w:lang w:val="en-GB"/>
        </w:rPr>
        <w:t>The Conference</w:t>
      </w:r>
    </w:p>
    <w:p w14:paraId="5EABD0A8" w14:textId="77777777" w:rsidR="00812CF5" w:rsidRPr="004411FE" w:rsidRDefault="00812CF5" w:rsidP="00812CF5">
      <w:pPr>
        <w:spacing w:line="276" w:lineRule="auto"/>
        <w:jc w:val="center"/>
        <w:rPr>
          <w:rFonts w:ascii="Palatino Linotype" w:hAnsi="Palatino Linotype" w:cs="Segoe UI"/>
          <w:b/>
          <w:sz w:val="24"/>
          <w:szCs w:val="24"/>
          <w:lang w:val="en-GB"/>
        </w:rPr>
      </w:pPr>
      <w:r w:rsidRPr="004411FE">
        <w:rPr>
          <w:rFonts w:ascii="Palatino Linotype" w:hAnsi="Palatino Linotype" w:cs="Segoe UI"/>
          <w:b/>
          <w:sz w:val="24"/>
          <w:szCs w:val="24"/>
          <w:lang w:val="en-GB"/>
        </w:rPr>
        <w:t>“75th anniversary of the ECHR and administrative court judges”</w:t>
      </w:r>
    </w:p>
    <w:p w14:paraId="00709441" w14:textId="77777777" w:rsidR="00812CF5" w:rsidRPr="00EB0B98" w:rsidRDefault="00812CF5" w:rsidP="00812CF5">
      <w:pPr>
        <w:spacing w:line="360" w:lineRule="auto"/>
        <w:jc w:val="center"/>
        <w:rPr>
          <w:rFonts w:ascii="Palatino Linotype" w:hAnsi="Palatino Linotype" w:cs="Segoe UI"/>
          <w:b/>
          <w:sz w:val="24"/>
          <w:szCs w:val="24"/>
          <w:lang w:val="en-US"/>
        </w:rPr>
      </w:pPr>
      <w:r w:rsidRPr="00EB0B98">
        <w:rPr>
          <w:rFonts w:ascii="Palatino Linotype" w:hAnsi="Palatino Linotype" w:cs="Segoe UI"/>
          <w:b/>
          <w:sz w:val="24"/>
          <w:szCs w:val="24"/>
          <w:lang w:val="en-US"/>
        </w:rPr>
        <w:t>Warsaw, 1-2 October 2025</w:t>
      </w:r>
    </w:p>
    <w:p w14:paraId="79F41F35" w14:textId="77777777" w:rsidR="00812CF5" w:rsidRPr="00EB0B98" w:rsidRDefault="00812CF5" w:rsidP="00812CF5">
      <w:pPr>
        <w:spacing w:line="360" w:lineRule="auto"/>
        <w:jc w:val="center"/>
        <w:rPr>
          <w:rFonts w:ascii="Palatino Linotype" w:hAnsi="Palatino Linotype"/>
          <w:b/>
          <w:sz w:val="24"/>
          <w:szCs w:val="24"/>
          <w:lang w:val="en-US"/>
        </w:rPr>
      </w:pPr>
      <w:r w:rsidRPr="00EB0B98">
        <w:rPr>
          <w:rFonts w:ascii="Palatino Linotype" w:hAnsi="Palatino Linotype"/>
          <w:b/>
          <w:sz w:val="24"/>
          <w:szCs w:val="24"/>
          <w:lang w:val="en-US"/>
        </w:rPr>
        <w:t>Questionnaire</w:t>
      </w:r>
    </w:p>
    <w:p w14:paraId="255E2ACB" w14:textId="77777777" w:rsidR="00812CF5" w:rsidRPr="00EB0B98" w:rsidRDefault="00812CF5" w:rsidP="00812CF5">
      <w:p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 w:rsidRPr="00EB0B98">
        <w:rPr>
          <w:rFonts w:ascii="Palatino Linotype" w:hAnsi="Palatino Linotype"/>
          <w:sz w:val="24"/>
          <w:szCs w:val="24"/>
          <w:lang w:val="en-US"/>
        </w:rPr>
        <w:t xml:space="preserve">Please answer the questions from the perspective of </w:t>
      </w:r>
      <w:r>
        <w:rPr>
          <w:rFonts w:ascii="Palatino Linotype" w:hAnsi="Palatino Linotype"/>
          <w:sz w:val="24"/>
          <w:szCs w:val="24"/>
          <w:lang w:val="en-US"/>
        </w:rPr>
        <w:t>the judge of the Council of State or Supreme Administrative Court (SAC)</w:t>
      </w:r>
      <w:r w:rsidRPr="00EB0B98">
        <w:rPr>
          <w:rFonts w:ascii="Palatino Linotype" w:hAnsi="Palatino Linotype"/>
          <w:sz w:val="24"/>
          <w:szCs w:val="24"/>
          <w:lang w:val="en-US"/>
        </w:rPr>
        <w:t>.</w:t>
      </w:r>
    </w:p>
    <w:p w14:paraId="289C7A66" w14:textId="77777777" w:rsidR="00812CF5" w:rsidRPr="000811BB" w:rsidRDefault="00812CF5" w:rsidP="00812C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0811BB">
        <w:rPr>
          <w:rFonts w:ascii="Palatino Linotype" w:hAnsi="Palatino Linotype"/>
          <w:b/>
          <w:bCs/>
          <w:sz w:val="24"/>
          <w:szCs w:val="24"/>
          <w:lang w:val="en-GB"/>
        </w:rPr>
        <w:t>What is the legal status of the ECHR in the legal order of your country and its position in the hierarchy of the sources of law?</w:t>
      </w:r>
    </w:p>
    <w:p w14:paraId="16106DEE" w14:textId="77777777" w:rsidR="00812CF5" w:rsidRDefault="00812CF5" w:rsidP="00812CF5">
      <w:pPr>
        <w:spacing w:line="36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Please explain.</w:t>
      </w:r>
    </w:p>
    <w:p w14:paraId="0F55F2E5" w14:textId="77777777" w:rsidR="00812CF5" w:rsidRPr="000811BB" w:rsidRDefault="00812CF5" w:rsidP="00812C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0811BB">
        <w:rPr>
          <w:rFonts w:ascii="Palatino Linotype" w:hAnsi="Palatino Linotype"/>
          <w:b/>
          <w:bCs/>
          <w:sz w:val="24"/>
          <w:szCs w:val="24"/>
          <w:lang w:val="en-GB"/>
        </w:rPr>
        <w:t>Is it possible for a national judge to apply the ECHR directly?</w:t>
      </w:r>
    </w:p>
    <w:p w14:paraId="6F53EDD7" w14:textId="77777777" w:rsidR="00812CF5" w:rsidRDefault="00812CF5" w:rsidP="00812CF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yes</w:t>
      </w:r>
    </w:p>
    <w:p w14:paraId="01D84938" w14:textId="77777777" w:rsidR="00812CF5" w:rsidRDefault="00812CF5" w:rsidP="00812CF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no</w:t>
      </w:r>
    </w:p>
    <w:p w14:paraId="617DA369" w14:textId="77777777" w:rsidR="00812CF5" w:rsidRPr="00987953" w:rsidRDefault="00812CF5" w:rsidP="00812CF5">
      <w:pPr>
        <w:spacing w:line="36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 w:rsidRPr="00EB0B98">
        <w:rPr>
          <w:rFonts w:ascii="Palatino Linotype" w:hAnsi="Palatino Linotype"/>
          <w:sz w:val="24"/>
          <w:szCs w:val="24"/>
          <w:lang w:val="en-GB"/>
        </w:rPr>
        <w:t>Please explain</w:t>
      </w:r>
      <w:r>
        <w:rPr>
          <w:rFonts w:ascii="Palatino Linotype" w:hAnsi="Palatino Linotype"/>
          <w:sz w:val="24"/>
          <w:szCs w:val="24"/>
          <w:lang w:val="en-GB"/>
        </w:rPr>
        <w:t>,</w:t>
      </w:r>
      <w:r w:rsidRPr="00EB0B98">
        <w:rPr>
          <w:rFonts w:ascii="Palatino Linotype" w:hAnsi="Palatino Linotype"/>
          <w:sz w:val="24"/>
          <w:szCs w:val="24"/>
          <w:lang w:val="en-GB"/>
        </w:rPr>
        <w:t xml:space="preserve"> if necessary </w:t>
      </w:r>
    </w:p>
    <w:p w14:paraId="2BF2EA96" w14:textId="77777777" w:rsidR="00812CF5" w:rsidRDefault="00812CF5" w:rsidP="00812C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 w:rsidRPr="009F446E">
        <w:rPr>
          <w:rFonts w:ascii="Palatino Linotype" w:hAnsi="Palatino Linotype"/>
          <w:sz w:val="24"/>
          <w:szCs w:val="24"/>
          <w:lang w:val="en-GB"/>
        </w:rPr>
        <w:t xml:space="preserve">If national legislation is contrary to the Convention, may a national </w:t>
      </w:r>
      <w:r>
        <w:rPr>
          <w:rFonts w:ascii="Palatino Linotype" w:hAnsi="Palatino Linotype"/>
          <w:sz w:val="24"/>
          <w:szCs w:val="24"/>
          <w:lang w:val="en-GB"/>
        </w:rPr>
        <w:t>court</w:t>
      </w:r>
      <w:r w:rsidRPr="009F446E">
        <w:rPr>
          <w:rFonts w:ascii="Palatino Linotype" w:hAnsi="Palatino Linotype"/>
          <w:sz w:val="24"/>
          <w:szCs w:val="24"/>
          <w:lang w:val="en-GB"/>
        </w:rPr>
        <w:t xml:space="preserve"> base </w:t>
      </w:r>
      <w:r>
        <w:rPr>
          <w:rFonts w:ascii="Palatino Linotype" w:hAnsi="Palatino Linotype"/>
          <w:sz w:val="24"/>
          <w:szCs w:val="24"/>
          <w:lang w:val="en-GB"/>
        </w:rPr>
        <w:t>its</w:t>
      </w:r>
      <w:r w:rsidRPr="009F446E">
        <w:rPr>
          <w:rFonts w:ascii="Palatino Linotype" w:hAnsi="Palatino Linotype"/>
          <w:sz w:val="24"/>
          <w:szCs w:val="24"/>
          <w:lang w:val="en-GB"/>
        </w:rPr>
        <w:t xml:space="preserve"> ruling on the </w:t>
      </w:r>
      <w:r>
        <w:rPr>
          <w:rFonts w:ascii="Palatino Linotype" w:hAnsi="Palatino Linotype"/>
          <w:sz w:val="24"/>
          <w:szCs w:val="24"/>
          <w:lang w:val="en-GB"/>
        </w:rPr>
        <w:t>Convention ?</w:t>
      </w:r>
    </w:p>
    <w:p w14:paraId="211E3524" w14:textId="77777777" w:rsidR="00812CF5" w:rsidRDefault="00812CF5" w:rsidP="00B1582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bookmarkStart w:id="0" w:name="_GoBack"/>
      <w:bookmarkEnd w:id="0"/>
      <w:r>
        <w:rPr>
          <w:rFonts w:ascii="Palatino Linotype" w:hAnsi="Palatino Linotype"/>
          <w:sz w:val="24"/>
          <w:szCs w:val="24"/>
          <w:lang w:val="en-GB"/>
        </w:rPr>
        <w:t>yes</w:t>
      </w:r>
    </w:p>
    <w:p w14:paraId="1EE965D8" w14:textId="77777777" w:rsidR="00812CF5" w:rsidRDefault="00812CF5" w:rsidP="00B1582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no</w:t>
      </w:r>
    </w:p>
    <w:p w14:paraId="7AF4D90C" w14:textId="77777777" w:rsidR="00812CF5" w:rsidRDefault="00812CF5" w:rsidP="00812CF5">
      <w:pPr>
        <w:spacing w:line="360" w:lineRule="auto"/>
        <w:ind w:left="360" w:firstLine="348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If yes, please explain and provide examples.</w:t>
      </w:r>
    </w:p>
    <w:p w14:paraId="1E378970" w14:textId="77777777" w:rsidR="00812CF5" w:rsidRDefault="00812CF5" w:rsidP="00812C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 xml:space="preserve"> </w:t>
      </w:r>
      <w:r w:rsidRPr="009F446E">
        <w:rPr>
          <w:rFonts w:ascii="Palatino Linotype" w:hAnsi="Palatino Linotype"/>
          <w:sz w:val="24"/>
          <w:szCs w:val="24"/>
          <w:lang w:val="en-GB"/>
        </w:rPr>
        <w:t xml:space="preserve">Do you have any examples of national judgments </w:t>
      </w:r>
      <w:r>
        <w:rPr>
          <w:rFonts w:ascii="Palatino Linotype" w:hAnsi="Palatino Linotype"/>
          <w:sz w:val="24"/>
          <w:szCs w:val="24"/>
          <w:lang w:val="en-GB"/>
        </w:rPr>
        <w:t xml:space="preserve">of the SAC </w:t>
      </w:r>
      <w:r w:rsidRPr="009F446E">
        <w:rPr>
          <w:rFonts w:ascii="Palatino Linotype" w:hAnsi="Palatino Linotype"/>
          <w:sz w:val="24"/>
          <w:szCs w:val="24"/>
          <w:lang w:val="en-GB"/>
        </w:rPr>
        <w:t xml:space="preserve">that comply with </w:t>
      </w:r>
      <w:r>
        <w:rPr>
          <w:rFonts w:ascii="Palatino Linotype" w:hAnsi="Palatino Linotype"/>
          <w:sz w:val="24"/>
          <w:szCs w:val="24"/>
          <w:lang w:val="en-GB"/>
        </w:rPr>
        <w:t xml:space="preserve">national legislation but do not comply with </w:t>
      </w:r>
      <w:r w:rsidRPr="009F446E">
        <w:rPr>
          <w:rFonts w:ascii="Palatino Linotype" w:hAnsi="Palatino Linotype"/>
          <w:sz w:val="24"/>
          <w:szCs w:val="24"/>
          <w:lang w:val="en-GB"/>
        </w:rPr>
        <w:t>the well-established case law of the ECtHR?</w:t>
      </w:r>
    </w:p>
    <w:p w14:paraId="53A04CB4" w14:textId="77777777" w:rsidR="00812CF5" w:rsidRDefault="00812CF5" w:rsidP="00812CF5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yes</w:t>
      </w:r>
    </w:p>
    <w:p w14:paraId="47AB6603" w14:textId="77777777" w:rsidR="00812CF5" w:rsidRPr="00987953" w:rsidRDefault="00812CF5" w:rsidP="00812CF5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 w:rsidRPr="00987953">
        <w:rPr>
          <w:rFonts w:ascii="Palatino Linotype" w:hAnsi="Palatino Linotype"/>
          <w:sz w:val="24"/>
          <w:szCs w:val="24"/>
          <w:lang w:val="en-GB"/>
        </w:rPr>
        <w:t>no</w:t>
      </w:r>
    </w:p>
    <w:p w14:paraId="15756C04" w14:textId="77777777" w:rsidR="00812CF5" w:rsidRPr="00B83960" w:rsidRDefault="00812CF5" w:rsidP="00812CF5">
      <w:pPr>
        <w:spacing w:line="360" w:lineRule="auto"/>
        <w:ind w:left="708" w:firstLine="426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lastRenderedPageBreak/>
        <w:t>If yes, please explain and give examples.</w:t>
      </w:r>
    </w:p>
    <w:p w14:paraId="54BD90A5" w14:textId="77777777" w:rsidR="00812CF5" w:rsidRPr="000811BB" w:rsidRDefault="00812CF5" w:rsidP="00812C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0811BB">
        <w:rPr>
          <w:rFonts w:ascii="Palatino Linotype" w:hAnsi="Palatino Linotype"/>
          <w:b/>
          <w:bCs/>
          <w:sz w:val="24"/>
          <w:szCs w:val="24"/>
          <w:lang w:val="en-GB"/>
        </w:rPr>
        <w:t xml:space="preserve">Have you </w:t>
      </w:r>
      <w:r>
        <w:rPr>
          <w:rFonts w:ascii="Palatino Linotype" w:hAnsi="Palatino Linotype"/>
          <w:b/>
          <w:bCs/>
          <w:sz w:val="24"/>
          <w:szCs w:val="24"/>
          <w:lang w:val="en-GB"/>
        </w:rPr>
        <w:t xml:space="preserve">ever </w:t>
      </w:r>
      <w:r w:rsidRPr="000811BB">
        <w:rPr>
          <w:rFonts w:ascii="Palatino Linotype" w:hAnsi="Palatino Linotype"/>
          <w:b/>
          <w:bCs/>
          <w:sz w:val="24"/>
          <w:szCs w:val="24"/>
          <w:lang w:val="en-GB"/>
        </w:rPr>
        <w:t xml:space="preserve">used the advisory opinion given by the ECtHR </w:t>
      </w:r>
      <w:r>
        <w:rPr>
          <w:rFonts w:ascii="Palatino Linotype" w:hAnsi="Palatino Linotype"/>
          <w:b/>
          <w:bCs/>
          <w:sz w:val="24"/>
          <w:szCs w:val="24"/>
          <w:lang w:val="en-GB"/>
        </w:rPr>
        <w:t xml:space="preserve">given </w:t>
      </w:r>
      <w:r w:rsidRPr="000811BB">
        <w:rPr>
          <w:rFonts w:ascii="Palatino Linotype" w:hAnsi="Palatino Linotype"/>
          <w:b/>
          <w:bCs/>
          <w:sz w:val="24"/>
          <w:szCs w:val="24"/>
          <w:lang w:val="en-GB"/>
        </w:rPr>
        <w:t>under the Protocol No. 16 to the ECHR in deciding a case before your Court?</w:t>
      </w:r>
    </w:p>
    <w:p w14:paraId="0762F6D1" w14:textId="77777777" w:rsidR="00812CF5" w:rsidRPr="004411FE" w:rsidRDefault="00812CF5" w:rsidP="00812CF5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yes</w:t>
      </w:r>
    </w:p>
    <w:p w14:paraId="7AA3607A" w14:textId="77777777" w:rsidR="00812CF5" w:rsidRDefault="00812CF5" w:rsidP="00812CF5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no</w:t>
      </w:r>
    </w:p>
    <w:p w14:paraId="68B91D22" w14:textId="77777777" w:rsidR="00812CF5" w:rsidRDefault="00812CF5" w:rsidP="00812CF5">
      <w:pPr>
        <w:spacing w:after="0" w:line="360" w:lineRule="auto"/>
        <w:ind w:left="360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If yes, please indicate the types of cases in which it was relevant.</w:t>
      </w:r>
    </w:p>
    <w:p w14:paraId="209F8216" w14:textId="77777777" w:rsidR="00812CF5" w:rsidRPr="00496A4E" w:rsidRDefault="00812CF5" w:rsidP="00812CF5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GB"/>
        </w:rPr>
      </w:pPr>
    </w:p>
    <w:p w14:paraId="224E4C94" w14:textId="77777777" w:rsidR="00812CF5" w:rsidRPr="00987953" w:rsidRDefault="00812CF5" w:rsidP="00812C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987953">
        <w:rPr>
          <w:rFonts w:ascii="Palatino Linotype" w:hAnsi="Palatino Linotype"/>
          <w:b/>
          <w:bCs/>
          <w:sz w:val="24"/>
          <w:szCs w:val="24"/>
          <w:lang w:val="en-GB"/>
        </w:rPr>
        <w:t xml:space="preserve">Is it possible to reopen a case </w:t>
      </w:r>
      <w:bookmarkStart w:id="1" w:name="OLE_LINK1"/>
      <w:r w:rsidRPr="00987953">
        <w:rPr>
          <w:rFonts w:ascii="Palatino Linotype" w:hAnsi="Palatino Linotype"/>
          <w:b/>
          <w:bCs/>
          <w:sz w:val="24"/>
          <w:szCs w:val="24"/>
          <w:lang w:val="en-GB"/>
        </w:rPr>
        <w:t xml:space="preserve">decided by the SAC </w:t>
      </w:r>
      <w:bookmarkEnd w:id="1"/>
      <w:r w:rsidRPr="00987953">
        <w:rPr>
          <w:rFonts w:ascii="Palatino Linotype" w:hAnsi="Palatino Linotype"/>
          <w:b/>
          <w:bCs/>
          <w:sz w:val="24"/>
          <w:szCs w:val="24"/>
          <w:lang w:val="en-GB"/>
        </w:rPr>
        <w:t>in which violation of the ECHR was confirmed by the ECtHR judgment</w:t>
      </w:r>
      <w:r>
        <w:rPr>
          <w:rFonts w:ascii="Palatino Linotype" w:hAnsi="Palatino Linotype"/>
          <w:b/>
          <w:bCs/>
          <w:sz w:val="24"/>
          <w:szCs w:val="24"/>
          <w:lang w:val="en-GB"/>
        </w:rPr>
        <w:t xml:space="preserve"> delivered in relation to this judgement</w:t>
      </w:r>
      <w:r w:rsidRPr="00987953">
        <w:rPr>
          <w:rFonts w:ascii="Palatino Linotype" w:hAnsi="Palatino Linotype"/>
          <w:b/>
          <w:bCs/>
          <w:sz w:val="24"/>
          <w:szCs w:val="24"/>
          <w:lang w:val="en-GB"/>
        </w:rPr>
        <w:t>?</w:t>
      </w:r>
    </w:p>
    <w:p w14:paraId="30DC814A" w14:textId="77777777" w:rsidR="00812CF5" w:rsidRDefault="00812CF5" w:rsidP="00812CF5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yes</w:t>
      </w:r>
    </w:p>
    <w:p w14:paraId="1658BE37" w14:textId="77777777" w:rsidR="00812CF5" w:rsidRDefault="00812CF5" w:rsidP="00812CF5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 xml:space="preserve">no </w:t>
      </w:r>
    </w:p>
    <w:p w14:paraId="6585FEA6" w14:textId="77777777" w:rsidR="00812CF5" w:rsidRDefault="00812CF5" w:rsidP="00812CF5">
      <w:pPr>
        <w:spacing w:line="360" w:lineRule="auto"/>
        <w:ind w:left="732" w:firstLine="348"/>
        <w:jc w:val="both"/>
        <w:rPr>
          <w:rFonts w:ascii="Palatino Linotype" w:hAnsi="Palatino Linotype"/>
          <w:sz w:val="24"/>
          <w:szCs w:val="24"/>
          <w:lang w:val="en-GB"/>
        </w:rPr>
      </w:pPr>
      <w:r w:rsidRPr="007C23AD">
        <w:rPr>
          <w:rFonts w:ascii="Palatino Linotype" w:hAnsi="Palatino Linotype"/>
          <w:sz w:val="24"/>
          <w:szCs w:val="24"/>
          <w:lang w:val="en-GB"/>
        </w:rPr>
        <w:t>Please explain</w:t>
      </w:r>
    </w:p>
    <w:p w14:paraId="608708C2" w14:textId="77777777" w:rsidR="00812CF5" w:rsidRPr="00FB0991" w:rsidRDefault="00812CF5" w:rsidP="00812C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FB0991">
        <w:rPr>
          <w:rFonts w:ascii="Palatino Linotype" w:hAnsi="Palatino Linotype"/>
          <w:b/>
          <w:bCs/>
          <w:sz w:val="24"/>
          <w:szCs w:val="24"/>
          <w:lang w:val="en-GB"/>
        </w:rPr>
        <w:t>Is it possible to reopen a case decided by the SAC in which a violation of the ECHR is justified under the subsequent ECtHR judgment concerning other case or another State Party ?</w:t>
      </w:r>
    </w:p>
    <w:p w14:paraId="3767EE3E" w14:textId="77777777" w:rsidR="00812CF5" w:rsidRDefault="00812CF5" w:rsidP="00812CF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yes</w:t>
      </w:r>
    </w:p>
    <w:p w14:paraId="292B8C5A" w14:textId="77777777" w:rsidR="00812CF5" w:rsidRDefault="00812CF5" w:rsidP="00812CF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no</w:t>
      </w:r>
    </w:p>
    <w:p w14:paraId="06B42BA5" w14:textId="77777777" w:rsidR="00812CF5" w:rsidRPr="00FB0991" w:rsidRDefault="00812CF5" w:rsidP="00812CF5">
      <w:pPr>
        <w:pStyle w:val="Akapitzlist"/>
        <w:spacing w:line="360" w:lineRule="auto"/>
        <w:ind w:left="732" w:firstLine="348"/>
        <w:jc w:val="both"/>
        <w:rPr>
          <w:rFonts w:ascii="Palatino Linotype" w:hAnsi="Palatino Linotype"/>
          <w:sz w:val="24"/>
          <w:szCs w:val="24"/>
          <w:lang w:val="en-GB"/>
        </w:rPr>
      </w:pPr>
      <w:r w:rsidRPr="007C23AD">
        <w:rPr>
          <w:rFonts w:ascii="Palatino Linotype" w:hAnsi="Palatino Linotype"/>
          <w:sz w:val="24"/>
          <w:szCs w:val="24"/>
          <w:lang w:val="en-GB"/>
        </w:rPr>
        <w:t>Please explain</w:t>
      </w:r>
    </w:p>
    <w:p w14:paraId="48FB0F57" w14:textId="77777777" w:rsidR="00812CF5" w:rsidRPr="00FB0991" w:rsidRDefault="00812CF5" w:rsidP="00812C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FB0991">
        <w:rPr>
          <w:rFonts w:ascii="Palatino Linotype" w:hAnsi="Palatino Linotype"/>
          <w:b/>
          <w:bCs/>
          <w:sz w:val="24"/>
          <w:szCs w:val="24"/>
          <w:lang w:val="en-GB"/>
        </w:rPr>
        <w:t>When it comes to interpretation of the Convention, do you consider the ECtHR judgments concerning other States to be binding in the same way as those concerning your State?</w:t>
      </w:r>
    </w:p>
    <w:p w14:paraId="6288517F" w14:textId="77777777" w:rsidR="00812CF5" w:rsidRPr="004411FE" w:rsidRDefault="00812CF5" w:rsidP="00812CF5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yes</w:t>
      </w:r>
    </w:p>
    <w:p w14:paraId="22AB6DA0" w14:textId="77777777" w:rsidR="00812CF5" w:rsidRDefault="00812CF5" w:rsidP="00812CF5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no</w:t>
      </w:r>
    </w:p>
    <w:p w14:paraId="2599499A" w14:textId="77777777" w:rsidR="00812CF5" w:rsidRPr="0022450E" w:rsidRDefault="00812CF5" w:rsidP="00812CF5">
      <w:pPr>
        <w:pStyle w:val="Akapitzlist"/>
        <w:spacing w:line="360" w:lineRule="auto"/>
        <w:ind w:left="360"/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Please explain.</w:t>
      </w:r>
    </w:p>
    <w:p w14:paraId="04A94E73" w14:textId="77777777" w:rsidR="00812CF5" w:rsidRPr="00FB0991" w:rsidRDefault="00812CF5" w:rsidP="00812C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FB0991">
        <w:rPr>
          <w:rFonts w:ascii="Palatino Linotype" w:hAnsi="Palatino Linotype"/>
          <w:b/>
          <w:bCs/>
          <w:sz w:val="24"/>
          <w:szCs w:val="24"/>
          <w:lang w:val="en-GB"/>
        </w:rPr>
        <w:lastRenderedPageBreak/>
        <w:t xml:space="preserve">If the standard of the protection of human rights </w:t>
      </w:r>
      <w:r>
        <w:rPr>
          <w:rFonts w:ascii="Palatino Linotype" w:hAnsi="Palatino Linotype"/>
          <w:b/>
          <w:bCs/>
          <w:sz w:val="24"/>
          <w:szCs w:val="24"/>
          <w:lang w:val="en-GB"/>
        </w:rPr>
        <w:t xml:space="preserve">in the EU Law itself or </w:t>
      </w:r>
      <w:r w:rsidRPr="00FB0991">
        <w:rPr>
          <w:rFonts w:ascii="Palatino Linotype" w:hAnsi="Palatino Linotype"/>
          <w:b/>
          <w:bCs/>
          <w:sz w:val="24"/>
          <w:szCs w:val="24"/>
          <w:lang w:val="en-GB"/>
        </w:rPr>
        <w:t xml:space="preserve">derived from the case law of the CJEU is lower than the standard set by the </w:t>
      </w:r>
      <w:r>
        <w:rPr>
          <w:rFonts w:ascii="Palatino Linotype" w:hAnsi="Palatino Linotype"/>
          <w:b/>
          <w:bCs/>
          <w:sz w:val="24"/>
          <w:szCs w:val="24"/>
          <w:lang w:val="en-GB"/>
        </w:rPr>
        <w:t xml:space="preserve">ECHR or by the </w:t>
      </w:r>
      <w:r w:rsidRPr="00FB0991">
        <w:rPr>
          <w:rFonts w:ascii="Palatino Linotype" w:hAnsi="Palatino Linotype"/>
          <w:b/>
          <w:bCs/>
          <w:sz w:val="24"/>
          <w:szCs w:val="24"/>
          <w:lang w:val="en-GB"/>
        </w:rPr>
        <w:t>case law of the ECtHR, which one would you follow in the case at hand?</w:t>
      </w:r>
    </w:p>
    <w:p w14:paraId="6E333969" w14:textId="77777777" w:rsidR="00812CF5" w:rsidRDefault="00812CF5" w:rsidP="00812CF5">
      <w:pPr>
        <w:pStyle w:val="Akapitzlist"/>
        <w:spacing w:line="360" w:lineRule="auto"/>
        <w:ind w:left="360"/>
        <w:jc w:val="both"/>
        <w:rPr>
          <w:rFonts w:ascii="Palatino Linotype" w:hAnsi="Palatino Linotype"/>
          <w:sz w:val="24"/>
          <w:szCs w:val="24"/>
          <w:lang w:val="en-GB"/>
        </w:rPr>
      </w:pPr>
    </w:p>
    <w:p w14:paraId="3E2E74B8" w14:textId="77777777" w:rsidR="00812CF5" w:rsidRPr="004411FE" w:rsidRDefault="00812CF5" w:rsidP="00812CF5">
      <w:pPr>
        <w:pStyle w:val="Akapitzlist"/>
        <w:spacing w:line="360" w:lineRule="auto"/>
        <w:ind w:left="360"/>
        <w:jc w:val="both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Please explain.</w:t>
      </w:r>
    </w:p>
    <w:p w14:paraId="54B212C2" w14:textId="28C6B2AD" w:rsidR="005D18F6" w:rsidRPr="00F73394" w:rsidRDefault="005D18F6" w:rsidP="00F73394">
      <w:pPr>
        <w:spacing w:line="240" w:lineRule="auto"/>
        <w:ind w:left="1410" w:hanging="1410"/>
        <w:jc w:val="both"/>
        <w:rPr>
          <w:rFonts w:ascii="Palatino Linotype" w:hAnsi="Palatino Linotype" w:cs="Segoe UI"/>
          <w:b/>
          <w:sz w:val="24"/>
          <w:szCs w:val="24"/>
        </w:rPr>
      </w:pPr>
    </w:p>
    <w:sectPr w:rsidR="005D18F6" w:rsidRPr="00F7339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B619C" w14:textId="77777777" w:rsidR="00A655BE" w:rsidRDefault="00A655BE" w:rsidP="00C94116">
      <w:pPr>
        <w:spacing w:after="0" w:line="240" w:lineRule="auto"/>
      </w:pPr>
      <w:r>
        <w:separator/>
      </w:r>
    </w:p>
  </w:endnote>
  <w:endnote w:type="continuationSeparator" w:id="0">
    <w:p w14:paraId="621EDAB1" w14:textId="77777777" w:rsidR="00A655BE" w:rsidRDefault="00A655BE" w:rsidP="00C9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81102354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1EDAE0F" w14:textId="5CFBB471" w:rsidR="00285E82" w:rsidRDefault="00285E82" w:rsidP="0005408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075CAB1" w14:textId="77777777" w:rsidR="00285E82" w:rsidRDefault="00285E82" w:rsidP="00285E8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3961337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4F2F64D" w14:textId="1C04C061" w:rsidR="00285E82" w:rsidRDefault="00285E82" w:rsidP="0005408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1582A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5240A47B" w14:textId="77777777" w:rsidR="00285E82" w:rsidRDefault="00285E82" w:rsidP="00285E8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3B637" w14:textId="77777777" w:rsidR="00A655BE" w:rsidRDefault="00A655BE" w:rsidP="00C94116">
      <w:pPr>
        <w:spacing w:after="0" w:line="240" w:lineRule="auto"/>
      </w:pPr>
      <w:r>
        <w:separator/>
      </w:r>
    </w:p>
  </w:footnote>
  <w:footnote w:type="continuationSeparator" w:id="0">
    <w:p w14:paraId="36E2EF7D" w14:textId="77777777" w:rsidR="00A655BE" w:rsidRDefault="00A655BE" w:rsidP="00C9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F849" w14:textId="77777777" w:rsidR="00720EBC" w:rsidRDefault="00C94116" w:rsidP="00720EBC">
    <w:pPr>
      <w:pStyle w:val="NormalnyWeb"/>
      <w:jc w:val="center"/>
    </w:pPr>
    <w:r w:rsidRPr="00686063">
      <w:rPr>
        <w:noProof/>
      </w:rPr>
      <w:drawing>
        <wp:inline distT="0" distB="0" distL="0" distR="0" wp14:anchorId="23A310BA" wp14:editId="41C57D1F">
          <wp:extent cx="1729439" cy="654677"/>
          <wp:effectExtent l="0" t="0" r="4445" b="0"/>
          <wp:docPr id="4" name="Obraz 4" descr="C:\Users\mjackowska\AppData\Local\Microsoft\Windows\Temporary Internet Files\Content.Word\logo NSA 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mjackowska\AppData\Local\Microsoft\Windows\Temporary Internet Files\Content.Word\logo NSA a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125" cy="664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0EBC">
      <w:t xml:space="preserve">                             </w:t>
    </w:r>
    <w:r w:rsidR="00720EBC">
      <w:rPr>
        <w:noProof/>
      </w:rPr>
      <w:drawing>
        <wp:inline distT="0" distB="0" distL="0" distR="0" wp14:anchorId="00450809" wp14:editId="735200A8">
          <wp:extent cx="956567" cy="592455"/>
          <wp:effectExtent l="0" t="0" r="0" b="0"/>
          <wp:docPr id="3" name="Obraz 3" descr="\\dc3\Zespol_Ekspercki\LOGO NSA komplet plikow\LOGO NSA komplet plikow\LOGO NSA - PL\PL_bez_godla_BLACK\pliki JPG\Logo_pl_BLACK_komp_centr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c3\Zespol_Ekspercki\LOGO NSA komplet plikow\LOGO NSA komplet plikow\LOGO NSA - PL\PL_bez_godla_BLACK\pliki JPG\Logo_pl_BLACK_komp_centr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798" cy="62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E0EFFF" w14:textId="77777777" w:rsidR="00C94116" w:rsidRDefault="00C94116" w:rsidP="00C9411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D2A"/>
    <w:multiLevelType w:val="hybridMultilevel"/>
    <w:tmpl w:val="54DAC99A"/>
    <w:lvl w:ilvl="0" w:tplc="D6BEBA5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9284D"/>
    <w:multiLevelType w:val="hybridMultilevel"/>
    <w:tmpl w:val="83FA6C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CC06AC"/>
    <w:multiLevelType w:val="hybridMultilevel"/>
    <w:tmpl w:val="0F0A3EE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680360"/>
    <w:multiLevelType w:val="hybridMultilevel"/>
    <w:tmpl w:val="3D04105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40374FB"/>
    <w:multiLevelType w:val="hybridMultilevel"/>
    <w:tmpl w:val="098A3EFC"/>
    <w:lvl w:ilvl="0" w:tplc="1D56E6EE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9A"/>
    <w:rsid w:val="00004284"/>
    <w:rsid w:val="000101C8"/>
    <w:rsid w:val="000B77F6"/>
    <w:rsid w:val="001650DF"/>
    <w:rsid w:val="001D1FF2"/>
    <w:rsid w:val="001E7266"/>
    <w:rsid w:val="0023289A"/>
    <w:rsid w:val="00256FFB"/>
    <w:rsid w:val="00285E82"/>
    <w:rsid w:val="002C6C00"/>
    <w:rsid w:val="00380D01"/>
    <w:rsid w:val="003914BD"/>
    <w:rsid w:val="003E2B4F"/>
    <w:rsid w:val="0052303D"/>
    <w:rsid w:val="00530235"/>
    <w:rsid w:val="00592B20"/>
    <w:rsid w:val="005D18F6"/>
    <w:rsid w:val="005F31CD"/>
    <w:rsid w:val="00626325"/>
    <w:rsid w:val="00660FE5"/>
    <w:rsid w:val="006721FD"/>
    <w:rsid w:val="00677744"/>
    <w:rsid w:val="006B266C"/>
    <w:rsid w:val="00700C5F"/>
    <w:rsid w:val="00720EBC"/>
    <w:rsid w:val="00734AE7"/>
    <w:rsid w:val="00737136"/>
    <w:rsid w:val="007C5514"/>
    <w:rsid w:val="007E122D"/>
    <w:rsid w:val="00812CF5"/>
    <w:rsid w:val="008A2929"/>
    <w:rsid w:val="008C4BA9"/>
    <w:rsid w:val="008D7264"/>
    <w:rsid w:val="00956BD6"/>
    <w:rsid w:val="009726D9"/>
    <w:rsid w:val="009C6FFB"/>
    <w:rsid w:val="009D4AD0"/>
    <w:rsid w:val="00A05D8A"/>
    <w:rsid w:val="00A10499"/>
    <w:rsid w:val="00A42FF0"/>
    <w:rsid w:val="00A60CC3"/>
    <w:rsid w:val="00A655BE"/>
    <w:rsid w:val="00A70957"/>
    <w:rsid w:val="00B1582A"/>
    <w:rsid w:val="00B308CF"/>
    <w:rsid w:val="00B92863"/>
    <w:rsid w:val="00BE5796"/>
    <w:rsid w:val="00BF379B"/>
    <w:rsid w:val="00C0413C"/>
    <w:rsid w:val="00C9307D"/>
    <w:rsid w:val="00C94116"/>
    <w:rsid w:val="00D074B8"/>
    <w:rsid w:val="00D15F5D"/>
    <w:rsid w:val="00D5520F"/>
    <w:rsid w:val="00D96FB0"/>
    <w:rsid w:val="00DC281F"/>
    <w:rsid w:val="00E62180"/>
    <w:rsid w:val="00EA5C59"/>
    <w:rsid w:val="00EC597A"/>
    <w:rsid w:val="00F428B5"/>
    <w:rsid w:val="00F7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68DA"/>
  <w15:chartTrackingRefBased/>
  <w15:docId w15:val="{88E33BD2-DE9D-476A-88C8-54CE360E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116"/>
  </w:style>
  <w:style w:type="paragraph" w:styleId="Stopka">
    <w:name w:val="footer"/>
    <w:basedOn w:val="Normalny"/>
    <w:link w:val="StopkaZnak"/>
    <w:uiPriority w:val="99"/>
    <w:unhideWhenUsed/>
    <w:rsid w:val="00C9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116"/>
  </w:style>
  <w:style w:type="paragraph" w:styleId="NormalnyWeb">
    <w:name w:val="Normal (Web)"/>
    <w:basedOn w:val="Normalny"/>
    <w:uiPriority w:val="99"/>
    <w:semiHidden/>
    <w:unhideWhenUsed/>
    <w:rsid w:val="0072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CC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721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2CF5"/>
    <w:pPr>
      <w:ind w:left="720"/>
      <w:contextualSpacing/>
    </w:pPr>
  </w:style>
  <w:style w:type="character" w:styleId="Numerstrony">
    <w:name w:val="page number"/>
    <w:basedOn w:val="Domylnaczcionkaakapitu"/>
    <w:uiPriority w:val="99"/>
    <w:semiHidden/>
    <w:unhideWhenUsed/>
    <w:rsid w:val="00285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Tarłowska</dc:creator>
  <cp:keywords/>
  <dc:description/>
  <cp:lastModifiedBy>Adrianna Tarłowska</cp:lastModifiedBy>
  <cp:revision>42</cp:revision>
  <cp:lastPrinted>2025-01-23T14:42:00Z</cp:lastPrinted>
  <dcterms:created xsi:type="dcterms:W3CDTF">2024-12-20T13:23:00Z</dcterms:created>
  <dcterms:modified xsi:type="dcterms:W3CDTF">2025-02-17T09:02:00Z</dcterms:modified>
</cp:coreProperties>
</file>